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C1306D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 xml:space="preserve">АО </w:t>
      </w:r>
      <w:r w:rsidR="008070E4" w:rsidRPr="002752C6">
        <w:t>"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8070E4" w:rsidRPr="002752C6">
        <w:t>"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1306D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 xml:space="preserve">АО </w:t>
      </w:r>
      <w:r w:rsidR="008070E4" w:rsidRPr="002752C6">
        <w:t>"</w:t>
      </w:r>
      <w:proofErr w:type="spellStart"/>
      <w:r w:rsidR="00C007EA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8070E4" w:rsidRPr="002752C6">
        <w:t>"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8070E4" w:rsidRPr="002752C6">
        <w:t>"</w:t>
      </w:r>
      <w:r w:rsidR="00B205D6">
        <w:rPr>
          <w:b/>
          <w:sz w:val="26"/>
          <w:szCs w:val="26"/>
        </w:rPr>
        <w:t>16</w:t>
      </w:r>
      <w:r w:rsidR="008070E4" w:rsidRPr="002752C6">
        <w:t>"</w:t>
      </w:r>
      <w:r>
        <w:rPr>
          <w:b/>
          <w:sz w:val="26"/>
          <w:szCs w:val="26"/>
        </w:rPr>
        <w:t xml:space="preserve"> </w:t>
      </w:r>
      <w:r w:rsidR="00B205D6">
        <w:rPr>
          <w:b/>
          <w:sz w:val="26"/>
          <w:szCs w:val="26"/>
        </w:rPr>
        <w:t>апреля</w:t>
      </w:r>
      <w:r>
        <w:rPr>
          <w:b/>
          <w:sz w:val="26"/>
          <w:szCs w:val="26"/>
        </w:rPr>
        <w:t xml:space="preserve"> 20</w:t>
      </w:r>
      <w:r w:rsidR="00E56536">
        <w:rPr>
          <w:b/>
          <w:sz w:val="26"/>
          <w:szCs w:val="26"/>
        </w:rPr>
        <w:t>20</w:t>
      </w:r>
      <w:r w:rsidR="00A7628C">
        <w:rPr>
          <w:b/>
          <w:sz w:val="26"/>
          <w:szCs w:val="26"/>
        </w:rPr>
        <w:t xml:space="preserve"> г</w:t>
      </w:r>
      <w:r w:rsidR="00C007EA"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F85A7B" w:rsidP="00403357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>
              <w:t>Выбор</w:t>
            </w:r>
            <w:r w:rsidR="00A12634" w:rsidRPr="00E364B5">
              <w:t xml:space="preserve"> победителя на </w:t>
            </w:r>
            <w:r w:rsidR="00E56536" w:rsidRPr="002752C6">
              <w:t>"</w:t>
            </w:r>
            <w:r w:rsidR="00611E36">
              <w:t>Закуп</w:t>
            </w:r>
            <w:r w:rsidR="00F74117" w:rsidRPr="00F74117">
              <w:t>к</w:t>
            </w:r>
            <w:r w:rsidR="00F74117">
              <w:t>у</w:t>
            </w:r>
            <w:r w:rsidR="00403357" w:rsidRPr="00403357">
              <w:t xml:space="preserve"> химических реактивов</w:t>
            </w:r>
            <w:r w:rsidR="00E56536" w:rsidRPr="002752C6">
              <w:t>"</w:t>
            </w:r>
            <w:r w:rsidR="00E364B5" w:rsidRPr="00E364B5">
              <w:t xml:space="preserve"> </w:t>
            </w:r>
            <w:r w:rsidR="00E364B5" w:rsidRPr="00E364B5">
              <w:rPr>
                <w:lang w:eastAsia="en-US"/>
              </w:rPr>
              <w:t>(ПДО №</w:t>
            </w:r>
            <w:r>
              <w:rPr>
                <w:lang w:eastAsia="en-US"/>
              </w:rPr>
              <w:t xml:space="preserve"> </w:t>
            </w:r>
            <w:r w:rsidR="00403357">
              <w:rPr>
                <w:lang w:eastAsia="en-US"/>
              </w:rPr>
              <w:t>19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403357">
              <w:rPr>
                <w:lang w:eastAsia="en-US"/>
              </w:rPr>
              <w:t>20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403357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D2C4D">
              <w:rPr>
                <w:rFonts w:cs="Arial"/>
                <w:b/>
                <w:szCs w:val="22"/>
              </w:rPr>
              <w:t xml:space="preserve">вопросу </w:t>
            </w:r>
            <w:r w:rsidR="00667303">
              <w:rPr>
                <w:rFonts w:cs="Arial"/>
                <w:b/>
                <w:szCs w:val="22"/>
              </w:rPr>
              <w:t>№</w:t>
            </w:r>
            <w:r w:rsidR="00403357">
              <w:rPr>
                <w:rFonts w:cs="Arial"/>
                <w:b/>
                <w:szCs w:val="22"/>
              </w:rPr>
              <w:t>7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F85A7B" w:rsidP="00403357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>Выбор</w:t>
            </w:r>
            <w:r w:rsidR="007C6C8A" w:rsidRPr="00E364B5">
              <w:t xml:space="preserve"> </w:t>
            </w:r>
            <w:r w:rsidR="00A12634" w:rsidRPr="00E364B5">
              <w:t>победителя на</w:t>
            </w:r>
            <w:r w:rsidR="004C4FDE" w:rsidRPr="00E364B5">
              <w:t xml:space="preserve"> </w:t>
            </w:r>
            <w:r w:rsidR="00E56536" w:rsidRPr="002752C6">
              <w:t>"</w:t>
            </w:r>
            <w:r w:rsidR="00611E36">
              <w:t>Закуп</w:t>
            </w:r>
            <w:r w:rsidR="00611E36" w:rsidRPr="00F74117">
              <w:t>к</w:t>
            </w:r>
            <w:r w:rsidR="00611E36">
              <w:t>у</w:t>
            </w:r>
            <w:r w:rsidR="00611E36" w:rsidRPr="00611E36">
              <w:t xml:space="preserve"> </w:t>
            </w:r>
            <w:r w:rsidR="00403357" w:rsidRPr="00403357">
              <w:t>химических реактивов</w:t>
            </w:r>
            <w:r w:rsidR="00E56536" w:rsidRPr="002752C6">
              <w:t>"</w:t>
            </w:r>
            <w:r w:rsidR="00C342CF" w:rsidRPr="00E364B5">
              <w:t xml:space="preserve"> </w:t>
            </w:r>
            <w:r w:rsidR="00C342CF" w:rsidRPr="00E364B5">
              <w:rPr>
                <w:lang w:eastAsia="en-US"/>
              </w:rPr>
              <w:t>(ПДО №</w:t>
            </w:r>
            <w:r>
              <w:rPr>
                <w:lang w:eastAsia="en-US"/>
              </w:rPr>
              <w:t xml:space="preserve"> </w:t>
            </w:r>
            <w:r w:rsidR="00403357">
              <w:rPr>
                <w:lang w:eastAsia="en-US"/>
              </w:rPr>
              <w:t>19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403357">
              <w:rPr>
                <w:lang w:eastAsia="en-US"/>
              </w:rPr>
              <w:t>20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B76F21" w:rsidRPr="00B76F21" w:rsidTr="00294DB0">
        <w:trPr>
          <w:trHeight w:val="733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E5827" w:rsidRPr="00F85A7B" w:rsidRDefault="00C007EA" w:rsidP="00DE5827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A7B"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F85A7B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FC0B39"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F85A7B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F85A7B">
              <w:rPr>
                <w:rFonts w:ascii="Times New Roman" w:hAnsi="Times New Roman"/>
                <w:sz w:val="24"/>
                <w:szCs w:val="24"/>
              </w:rPr>
              <w:t>а</w:t>
            </w:r>
            <w:r w:rsidRPr="00F85A7B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4C4FDE" w:rsidRPr="00F85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6536" w:rsidRPr="00F85A7B">
              <w:t>"</w:t>
            </w:r>
            <w:r w:rsidR="00611E36" w:rsidRPr="00F85A7B">
              <w:rPr>
                <w:rFonts w:ascii="Times New Roman" w:hAnsi="Times New Roman"/>
                <w:sz w:val="24"/>
                <w:szCs w:val="24"/>
              </w:rPr>
              <w:t xml:space="preserve">Закупку </w:t>
            </w:r>
            <w:r w:rsidR="00403357" w:rsidRPr="00403357">
              <w:rPr>
                <w:rFonts w:ascii="Times New Roman" w:hAnsi="Times New Roman"/>
                <w:sz w:val="24"/>
                <w:szCs w:val="24"/>
              </w:rPr>
              <w:t>химических реактивов</w:t>
            </w:r>
            <w:r w:rsidR="00403357" w:rsidRPr="00F85A7B">
              <w:t>"</w:t>
            </w:r>
            <w:r w:rsidR="00C342CF" w:rsidRPr="00F85A7B">
              <w:rPr>
                <w:rFonts w:ascii="Times New Roman" w:hAnsi="Times New Roman"/>
                <w:sz w:val="24"/>
                <w:szCs w:val="24"/>
              </w:rPr>
              <w:t xml:space="preserve"> (ПДО №</w:t>
            </w:r>
            <w:r w:rsidR="00F85A7B" w:rsidRPr="00F85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3357">
              <w:rPr>
                <w:rFonts w:ascii="Times New Roman" w:hAnsi="Times New Roman"/>
                <w:sz w:val="24"/>
                <w:szCs w:val="24"/>
              </w:rPr>
              <w:t>19</w:t>
            </w:r>
            <w:r w:rsidR="00945D63" w:rsidRPr="00F85A7B">
              <w:rPr>
                <w:rFonts w:ascii="Times New Roman" w:hAnsi="Times New Roman"/>
                <w:sz w:val="24"/>
                <w:szCs w:val="24"/>
              </w:rPr>
              <w:t>-СС-20</w:t>
            </w:r>
            <w:r w:rsidR="00403357">
              <w:rPr>
                <w:rFonts w:ascii="Times New Roman" w:hAnsi="Times New Roman"/>
                <w:sz w:val="24"/>
                <w:szCs w:val="24"/>
              </w:rPr>
              <w:t>20</w:t>
            </w:r>
            <w:r w:rsidR="00C342CF" w:rsidRPr="00F85A7B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F85A7B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FC0B39">
              <w:rPr>
                <w:rFonts w:ascii="Times New Roman" w:hAnsi="Times New Roman"/>
                <w:sz w:val="24"/>
                <w:szCs w:val="24"/>
              </w:rPr>
              <w:t xml:space="preserve"> следующих контрагентов</w:t>
            </w:r>
            <w:r w:rsidR="00DE5827" w:rsidRPr="00F85A7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E5827" w:rsidRPr="007B5AAE" w:rsidRDefault="00DE5827" w:rsidP="00F85A7B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403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позициям</w:t>
            </w:r>
            <w:r w:rsidR="00BA6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A6247" w:rsidRPr="00BA6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1, 2, 6, 15, 20, 21, 23, 24, 37, 47, 49, 50, 51, 52, 63, 64, 65, 66, 67, 68, 69, 70, 71, 72, 73, 81, 88, 89, 90, 91, 92, 93, 94, 95, 96, 97, 98, 99, 104, 105, 107, 108, 109, 111, 123, 124, 125, 126, 127, 128, 129, 130, 131, 132, 133, 134, 135, 136, 140, 141, 142, 143, 144, 145, 146, 147, 148, 153, 154, 157, 158, 159, 161, 162, 165, 166, 167, 168, 169, 171, 172, 173, 174, 175, 176, 177, 178, 179, 180, 181, 182, 183, 184, 189, 190, 191, 193, 194, 195, 196, 197, 198, 201, 202, 203, 205, 206, 207, 208, 209, 210, 211, 212, 213, 214, 215, 216, 217, 218, 219, 220, 221, 222, 223, 224, 225, 226, 229, 230, 231, 232, 233, 234, 235, 236, 237, 242, 243, 244, 245, 246, 247, 248, 249, 250, 252, 263, 264, 268, 269, 270, 272, 273, 298, 299, 300, 301, 302, 305, 306, 307, 308, 312, 313, 314, 315, 316, 317, 318, 320, 321, 322, 323, 325, 326, 327, 328, 329, 330, 331, 336, 337, 338, 339, 340, 341, 344, 345, 346, 347, 348, 349, 350, 351, 352, 353, 354, 355, 360, 361, 362, 363, 364, 367, 368, 372, 373, 375, 378, 379, 380, 381, 383, 391, 392, 401, 402, 403, 404, 405, 406, 407, 408, 409, 410, 417, 418, 419, 420, 421, 422, 427, 428, 429, 435, 439, 440, 445, 446, 447, 448, 449, 450, 452, 453, 455, 456, 457, 458, 459, 460, 462, 463, 465, 474, 476, 477, 482, 487, 488, 489, 512, 513, 514, 515, 516, 517, 523, 525, 526, 527, 529, 530, 531, 532, 533, 534, 535, 536, 537, 538, 539, 547, 550, 551, 554, 555, 556, 558, 559, 560, 561, 562, 563, 564, 565, 577, 578, 581, 587,588, 589, 590, 591, 592, 593, 594, 595, 596, 599, 603, 604, 605, 607, 608, 613, 614, 615, 616, 630, 631, 640, 642, 643, 644, 645, 646, 647, 652, 653, 654, 655, 659, 660, 684, 695, 696, 697, 698, 699, 701, 702, 708, 723, 725, 729, 732, 733, 760, 761, 763, 764, 765, 766, 767, 769, 770, 771,781, 782, 786, 789, 792, 794, 795, 797, 798, 799, 813, 814, 815, 816, 817, 818, 819, 820, 821, 822, 823, 824, 825, 826, 827, 828, 829, 830, 831, 841, 846, 847, 848, 849, 883, 884, 885, 886, 887, 890, 891, 892, 893, 894, 896, 897, 898, 899, 900, 901, 902, 903, 904, 905, 906, 907, 908, 909, 910, 919, 920, 921, 922, 923, 924, 925, 926, 927, 928, 929, 930, 931, 933, 934, 935, 936, 937, 938, 939, 941, 942, 943, 944, 945, 946, 947, 948, 954, 955, 956, 962, 965, 966, 967, 968, 969, 970, 971, 972, 973, 989, 990, 997, 998, 999, 1000, 1001, 1006, 1007, 1008, 1009, 1010, 1011, 1012: ООО </w:t>
            </w:r>
            <w:r w:rsidR="00BA6247" w:rsidRPr="00F85A7B">
              <w:t>"</w:t>
            </w:r>
            <w:proofErr w:type="spellStart"/>
            <w:r w:rsidR="00BA6247" w:rsidRPr="00BA6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Невалайн</w:t>
            </w:r>
            <w:proofErr w:type="spellEnd"/>
            <w:r w:rsidR="007B5AAE" w:rsidRPr="00F85A7B">
              <w:t>"</w:t>
            </w:r>
            <w:r w:rsidRPr="007B5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C0B39" w:rsidRPr="007B5AAE" w:rsidRDefault="00F74117" w:rsidP="007B5AAE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B205D6" w:rsidRPr="007B5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позици</w:t>
            </w:r>
            <w:r w:rsidR="007B5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403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C22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24DE" w:rsidRPr="00C22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4, 5, 85, 86, 87, 106, 149, 150, 151, 152, 185, 186, 238, 239, 240, 241, 251, 253, 254, 255, 256, 257, 258, 259, 260, 261, 262, 265, 266, 267, 275, 276, 277, 278, 279, 280, 281, 282, 283, 284, 285, 286, 287, 288, 289, 290, 291, 292, 294, 295, 296, 297, 309, 310, 311, 342, 356, 357, 358, 359, 369, 370, 371, 384, 385, 386, 387, 388, 389, 390, 454, 511, 528, 609, 625, 641, 724, 736, 737, 740, 747, 748, 749, 750, 751, 752, 772, 787, 888, 889, 940, 963, 964, 974, 975, 983, 984, 986: ООО </w:t>
            </w:r>
            <w:r w:rsidR="00C224DE" w:rsidRPr="00F85A7B">
              <w:t>"</w:t>
            </w:r>
            <w:r w:rsidR="00C224DE" w:rsidRPr="00C22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Промышленные экологические лаборатории</w:t>
            </w:r>
            <w:r w:rsidR="007B5AAE" w:rsidRPr="00F85A7B">
              <w:t>"</w:t>
            </w:r>
            <w:r w:rsidR="00FC0B39" w:rsidRPr="007B5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205D6" w:rsidRPr="0053554D" w:rsidRDefault="00B205D6" w:rsidP="007B5AAE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позици</w:t>
            </w:r>
            <w:r w:rsidR="007B5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403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004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4B54" w:rsidRPr="00004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16, 17, 18, 22, 25, 26, 27, 28, 29, 30, 31, 32, 33, 34, 35, 38, 39, 40, 41, 48, 53, </w:t>
            </w:r>
            <w:r w:rsidR="00004B54" w:rsidRPr="00004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54, 55, 56, 57, 58, 59, 60, 61, 62, 74, 100, 101, 102, 103, 110, 112, 113, 114, 115, 116, 117, 118, 119, 120, 121, 137, 138, 139, 155, 164, 170, 187, 188, 227, 228, 274, 332, 333, 334, 335, 374, 393, 394, 395, 396, 397, 398, 399, 400, 411, 412, 413, 414, 415, 416, 425, 426, 436, 437, 438, 441, 442, 443, 444, 461, 464, 466, 467, 468, 469, 470, 471, 472, 481, 483, 484, 485, 486, 490, 491, 492, 493, 494, 495, 496, 497, 498, 499, 500, 501, 502, 503, 504, 505, 506, 507, 508, 509, 518, 519, 521, 522, 524, 557, 566, 567, 568, 569, 570, 571, 572, 573, 574, 575, 576, 582, 583, 584, 585, 586, 597, 598, 606, 618, 619, 621, 629, 648, 656, 657, 661, 662, 663, 664, 665, 666, 667, 668,669, 670, 671, 672, 673, 674, 675, 676, 677, 678, 679, 680, 681, 685, 686, 687, 688, 689, 690, 691, 692, 693, 694, 703, 704, 705, 706, 707, 709, 710, 711, 712, 713, 714, 715, 716, 717, 718, 719, 720, 721, 722, 753, 754, 755, 756, 757, 758, 759, 768, 774, 775, 776, 777, 778, 779, 780, 796, 800, 801, 802, 803, 805, 806, 807, 832, 833, 834, 835, 836, 837, 838, 839, 840, 842, 843, 844, 845, 850, 851, 852, 853, 854, 855, 856, 857, 858, 859, 860, 861, 862, 863, 864, 865, 866, 867, 868, 869, 870, 871, 872, 873, 874, 875, 876, 877, 878, 879, 880, 881, 882, 911, 912, 913, 914, 915, 958, 959, 960, 961, 979, 980, 991: ООО </w:t>
            </w:r>
            <w:r w:rsidR="00004B54" w:rsidRPr="00F85A7B">
              <w:t>"</w:t>
            </w:r>
            <w:r w:rsidR="00004B54" w:rsidRPr="00004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Омега </w:t>
            </w:r>
            <w:proofErr w:type="spellStart"/>
            <w:r w:rsidR="00004B54" w:rsidRPr="00004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</w:t>
            </w:r>
            <w:proofErr w:type="spellEnd"/>
            <w:r w:rsidR="007B5AAE" w:rsidRPr="00F85A7B">
              <w:t>"</w:t>
            </w:r>
            <w:r w:rsidR="007B5AAE">
              <w:t>;</w:t>
            </w:r>
          </w:p>
          <w:p w:rsidR="0053554D" w:rsidRPr="007B5AAE" w:rsidRDefault="0053554D" w:rsidP="007B5AAE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позициям</w:t>
            </w:r>
            <w:r w:rsidRPr="00535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5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622, 623, 731, 735, 745, 746, 788: ООО НПО </w:t>
            </w:r>
            <w:r w:rsidRPr="00F85A7B">
              <w:t>"</w:t>
            </w:r>
            <w:r w:rsidRPr="00535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Валентина</w:t>
            </w:r>
            <w:r w:rsidRPr="00F85A7B">
              <w:t>"</w:t>
            </w:r>
            <w:r>
              <w:t>;</w:t>
            </w:r>
          </w:p>
          <w:p w:rsidR="00CA6303" w:rsidRPr="00F85A7B" w:rsidRDefault="00FC0B39" w:rsidP="004F0A1F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403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позициям</w:t>
            </w:r>
            <w:r w:rsidR="004F0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F0A1F" w:rsidRPr="004F0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 7, 8, 9, 10, 11, 12, 13, 14, 19, 36, 42, 43, 44, 45, 46, 75, 76, 77, 78, 79, 80, 82, 83, 84, 122, 156, 160, 163, 192, 199, 200, 204, 271, 293, 303, 304, 319, 324, 343, 365, 366, 376, 377, 382, 423, 424, 430, 431, 432, 433, 434, 451, 473, 475, 478, 479, 480, 510, 520, 540, 541, 542, 543, 544, 545, 546, 548, 549, 552, 553, 579, 580, 600, 601, 602, 610, 611, 612, 617, 620, 624, 626, 627, 628, 632, 633, 634, 635, 636, 637, 638, 639, 649, 650, 651, 658, 682, 683, 700, 726, 727, 728, 730, 734, 738, 739, 741, 742, 743, 744, 762, 773, 783, 784, 785, 790, 791, 793, 804, 808, 809, 810, 811, 812, 895, 916, 917, 918, 932, 949, 950, 951, 952, 953, 957, 976, 977, 978, 981, 982, 985, 987, 988, 992, 993, 994, 995, 996, 1002, 1003, 1004, 1005: признать тендер несостоявшимся</w:t>
            </w:r>
            <w:bookmarkStart w:id="3" w:name="_GoBack"/>
            <w:bookmarkEnd w:id="3"/>
            <w:r w:rsidR="00917F71" w:rsidRPr="00F85A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205D6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205D6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205D6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205D6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205D6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205D6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205D6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205D6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205D6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205D6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205D6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205D6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788" w:rsidRDefault="00896788">
      <w:r>
        <w:separator/>
      </w:r>
    </w:p>
  </w:endnote>
  <w:endnote w:type="continuationSeparator" w:id="0">
    <w:p w:rsidR="00896788" w:rsidRDefault="0089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788" w:rsidRDefault="00896788">
      <w:r>
        <w:separator/>
      </w:r>
    </w:p>
  </w:footnote>
  <w:footnote w:type="continuationSeparator" w:id="0">
    <w:p w:rsidR="00896788" w:rsidRDefault="00896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9106D"/>
    <w:multiLevelType w:val="hybridMultilevel"/>
    <w:tmpl w:val="BAC46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6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11"/>
  </w:num>
  <w:num w:numId="15">
    <w:abstractNumId w:val="17"/>
  </w:num>
  <w:num w:numId="16">
    <w:abstractNumId w:val="4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04B54"/>
    <w:rsid w:val="00062819"/>
    <w:rsid w:val="00062E67"/>
    <w:rsid w:val="0008333D"/>
    <w:rsid w:val="000C5E61"/>
    <w:rsid w:val="00120958"/>
    <w:rsid w:val="001449FB"/>
    <w:rsid w:val="00146AD6"/>
    <w:rsid w:val="001D25F4"/>
    <w:rsid w:val="001D33A7"/>
    <w:rsid w:val="001D4B1B"/>
    <w:rsid w:val="0020494C"/>
    <w:rsid w:val="002062DC"/>
    <w:rsid w:val="00211044"/>
    <w:rsid w:val="0024296F"/>
    <w:rsid w:val="002601B5"/>
    <w:rsid w:val="00262570"/>
    <w:rsid w:val="002752C6"/>
    <w:rsid w:val="00294DB0"/>
    <w:rsid w:val="002C55B9"/>
    <w:rsid w:val="002D317E"/>
    <w:rsid w:val="00340D7A"/>
    <w:rsid w:val="003445B6"/>
    <w:rsid w:val="00350807"/>
    <w:rsid w:val="00351803"/>
    <w:rsid w:val="003612E2"/>
    <w:rsid w:val="00382C5B"/>
    <w:rsid w:val="00384189"/>
    <w:rsid w:val="003D3ABB"/>
    <w:rsid w:val="003E7149"/>
    <w:rsid w:val="003F1587"/>
    <w:rsid w:val="00403357"/>
    <w:rsid w:val="00411161"/>
    <w:rsid w:val="00422464"/>
    <w:rsid w:val="004668FB"/>
    <w:rsid w:val="004B6F95"/>
    <w:rsid w:val="004C4FDE"/>
    <w:rsid w:val="004F0A1F"/>
    <w:rsid w:val="00511D19"/>
    <w:rsid w:val="0053554D"/>
    <w:rsid w:val="0054260D"/>
    <w:rsid w:val="00547B13"/>
    <w:rsid w:val="005505CE"/>
    <w:rsid w:val="005743AE"/>
    <w:rsid w:val="005E574A"/>
    <w:rsid w:val="00606F97"/>
    <w:rsid w:val="00611E36"/>
    <w:rsid w:val="0066316F"/>
    <w:rsid w:val="00667303"/>
    <w:rsid w:val="00670316"/>
    <w:rsid w:val="006B6A0D"/>
    <w:rsid w:val="006C740D"/>
    <w:rsid w:val="006D51FA"/>
    <w:rsid w:val="006F6BAD"/>
    <w:rsid w:val="0070695F"/>
    <w:rsid w:val="007339FE"/>
    <w:rsid w:val="007556F7"/>
    <w:rsid w:val="00767BA2"/>
    <w:rsid w:val="00775C1B"/>
    <w:rsid w:val="007936A4"/>
    <w:rsid w:val="007B5AAE"/>
    <w:rsid w:val="007C5E88"/>
    <w:rsid w:val="007C6C8A"/>
    <w:rsid w:val="007D020F"/>
    <w:rsid w:val="007F46BF"/>
    <w:rsid w:val="008070E4"/>
    <w:rsid w:val="00836484"/>
    <w:rsid w:val="00855F44"/>
    <w:rsid w:val="00865541"/>
    <w:rsid w:val="0087027B"/>
    <w:rsid w:val="00896788"/>
    <w:rsid w:val="008A786B"/>
    <w:rsid w:val="008C2AE7"/>
    <w:rsid w:val="008D12C4"/>
    <w:rsid w:val="008D3280"/>
    <w:rsid w:val="008E6557"/>
    <w:rsid w:val="009020AC"/>
    <w:rsid w:val="00917F71"/>
    <w:rsid w:val="00923470"/>
    <w:rsid w:val="00945D63"/>
    <w:rsid w:val="00980AB7"/>
    <w:rsid w:val="0099306D"/>
    <w:rsid w:val="009A29E5"/>
    <w:rsid w:val="009A41C4"/>
    <w:rsid w:val="009D119F"/>
    <w:rsid w:val="009D7A3F"/>
    <w:rsid w:val="009E2460"/>
    <w:rsid w:val="00A12107"/>
    <w:rsid w:val="00A12634"/>
    <w:rsid w:val="00A35FA8"/>
    <w:rsid w:val="00A71C6F"/>
    <w:rsid w:val="00A7628C"/>
    <w:rsid w:val="00A927E8"/>
    <w:rsid w:val="00AE58D5"/>
    <w:rsid w:val="00B05052"/>
    <w:rsid w:val="00B06ECF"/>
    <w:rsid w:val="00B205D6"/>
    <w:rsid w:val="00B6436A"/>
    <w:rsid w:val="00B76F21"/>
    <w:rsid w:val="00BA6247"/>
    <w:rsid w:val="00BB1648"/>
    <w:rsid w:val="00BC7F9B"/>
    <w:rsid w:val="00BD697C"/>
    <w:rsid w:val="00C007EA"/>
    <w:rsid w:val="00C03A7D"/>
    <w:rsid w:val="00C040C5"/>
    <w:rsid w:val="00C1306D"/>
    <w:rsid w:val="00C1341B"/>
    <w:rsid w:val="00C16C73"/>
    <w:rsid w:val="00C224DE"/>
    <w:rsid w:val="00C342CF"/>
    <w:rsid w:val="00C76476"/>
    <w:rsid w:val="00C83D2B"/>
    <w:rsid w:val="00C91AFA"/>
    <w:rsid w:val="00CA6303"/>
    <w:rsid w:val="00CC60FB"/>
    <w:rsid w:val="00D46107"/>
    <w:rsid w:val="00D87CD8"/>
    <w:rsid w:val="00DA410D"/>
    <w:rsid w:val="00DA4423"/>
    <w:rsid w:val="00DB51CA"/>
    <w:rsid w:val="00DC698B"/>
    <w:rsid w:val="00DE3038"/>
    <w:rsid w:val="00DE5827"/>
    <w:rsid w:val="00E364B5"/>
    <w:rsid w:val="00E56536"/>
    <w:rsid w:val="00E71CC6"/>
    <w:rsid w:val="00E74B09"/>
    <w:rsid w:val="00ED2C4D"/>
    <w:rsid w:val="00F104B9"/>
    <w:rsid w:val="00F13C07"/>
    <w:rsid w:val="00F42A80"/>
    <w:rsid w:val="00F73864"/>
    <w:rsid w:val="00F73C94"/>
    <w:rsid w:val="00F74117"/>
    <w:rsid w:val="00F761D4"/>
    <w:rsid w:val="00F85A7B"/>
    <w:rsid w:val="00FB2700"/>
    <w:rsid w:val="00FC0B3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31E6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96</cp:revision>
  <cp:lastPrinted>2015-09-07T09:14:00Z</cp:lastPrinted>
  <dcterms:created xsi:type="dcterms:W3CDTF">2015-02-17T13:42:00Z</dcterms:created>
  <dcterms:modified xsi:type="dcterms:W3CDTF">2020-04-17T07:28:00Z</dcterms:modified>
</cp:coreProperties>
</file>